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6A9F" w14:textId="77777777" w:rsidR="00BB70EB" w:rsidRPr="00AF4D75" w:rsidRDefault="00BB70EB">
      <w:pPr>
        <w:rPr>
          <w:b/>
          <w:sz w:val="32"/>
          <w:szCs w:val="32"/>
        </w:rPr>
      </w:pPr>
      <w:r w:rsidRPr="00AF4D75">
        <w:rPr>
          <w:b/>
          <w:sz w:val="32"/>
          <w:szCs w:val="32"/>
        </w:rPr>
        <w:t xml:space="preserve">National Emphasis Program (NEP) on Amputation </w:t>
      </w:r>
    </w:p>
    <w:p w14:paraId="3EC32D0E" w14:textId="77777777" w:rsidR="00BB70EB" w:rsidRDefault="00BB70EB" w:rsidP="00BB70EB">
      <w:pPr>
        <w:widowControl w:val="0"/>
        <w:tabs>
          <w:tab w:val="left" w:pos="840"/>
        </w:tabs>
        <w:autoSpaceDE w:val="0"/>
        <w:autoSpaceDN w:val="0"/>
        <w:spacing w:before="183" w:after="0" w:line="252" w:lineRule="auto"/>
        <w:ind w:right="357"/>
      </w:pPr>
      <w:r>
        <w:t>OSHA issued a press release announcing that it has updated the National Emphasis Program (NEP) on Amputatio</w:t>
      </w:r>
      <w:r>
        <w:t>ns in Manufacturing Industries (</w:t>
      </w:r>
      <w:r>
        <w:t>Amputations). This NEP will identify, reduce or eliminate workplace hazards associated with amputations in the manufacturing industries.</w:t>
      </w:r>
      <w:r>
        <w:t xml:space="preserve"> </w:t>
      </w:r>
      <w:r w:rsidR="004715CA">
        <w:t xml:space="preserve">Outreach is an essential part of this Emphasis Program. </w:t>
      </w:r>
    </w:p>
    <w:p w14:paraId="60A43D03" w14:textId="77777777" w:rsidR="00BB70EB" w:rsidRDefault="00BB70EB" w:rsidP="00BB70EB">
      <w:pPr>
        <w:widowControl w:val="0"/>
        <w:tabs>
          <w:tab w:val="left" w:pos="840"/>
        </w:tabs>
        <w:autoSpaceDE w:val="0"/>
        <w:autoSpaceDN w:val="0"/>
        <w:spacing w:before="183" w:after="0" w:line="252" w:lineRule="auto"/>
        <w:ind w:right="357"/>
      </w:pPr>
      <w:r w:rsidRPr="00BB70EB">
        <w:t>Operating machinery or equipment continues to be extremely dangerous when they are not properly guarded or maintained</w:t>
      </w:r>
      <w:r>
        <w:t xml:space="preserve">. </w:t>
      </w:r>
      <w:r w:rsidRPr="00BB70EB">
        <w:t>Injuries involving machinery or equipment often result in death or permanent disability.</w:t>
      </w:r>
    </w:p>
    <w:p w14:paraId="17C58E82" w14:textId="77777777" w:rsidR="00AF4D75" w:rsidRDefault="00AF4D75" w:rsidP="00BB70EB">
      <w:pPr>
        <w:widowControl w:val="0"/>
        <w:tabs>
          <w:tab w:val="left" w:pos="840"/>
        </w:tabs>
        <w:autoSpaceDE w:val="0"/>
        <w:autoSpaceDN w:val="0"/>
        <w:spacing w:before="183" w:after="0" w:line="252" w:lineRule="auto"/>
        <w:ind w:right="357"/>
      </w:pPr>
      <w:r>
        <w:t>The targeting strategy identified industries that have had been cited for machine guarding violations or industries that reported 50 or more amputation injury from or have a high injury rate.  These industries are listed in Appendix B of the NEP Directive by NAICS (</w:t>
      </w:r>
      <w:r w:rsidRPr="00AF4D75">
        <w:t>North American Industry Classification System</w:t>
      </w:r>
      <w:r>
        <w:t>)</w:t>
      </w:r>
      <w:r w:rsidR="004715CA">
        <w:t xml:space="preserve">.  </w:t>
      </w:r>
    </w:p>
    <w:p w14:paraId="10F8D2B8" w14:textId="77777777" w:rsidR="00AF4D75" w:rsidRPr="00BB70EB" w:rsidRDefault="00AF4D75" w:rsidP="00BB70EB">
      <w:pPr>
        <w:widowControl w:val="0"/>
        <w:tabs>
          <w:tab w:val="left" w:pos="840"/>
        </w:tabs>
        <w:autoSpaceDE w:val="0"/>
        <w:autoSpaceDN w:val="0"/>
        <w:spacing w:before="183" w:after="0" w:line="252" w:lineRule="auto"/>
        <w:ind w:right="357"/>
      </w:pPr>
      <w:r>
        <w:t>It’s a great time to review machine guarding and Lockout procedures in your facility!!</w:t>
      </w:r>
    </w:p>
    <w:p w14:paraId="34B886E1" w14:textId="77777777" w:rsidR="00BB70EB" w:rsidRDefault="00BB70EB"/>
    <w:p w14:paraId="261B3BC2" w14:textId="77777777" w:rsidR="00BB70EB" w:rsidRDefault="00BB70EB">
      <w:r>
        <w:rPr>
          <w:noProof/>
        </w:rPr>
        <w:drawing>
          <wp:inline distT="0" distB="0" distL="0" distR="0" wp14:anchorId="017ED64E" wp14:editId="79F02C13">
            <wp:extent cx="3306533" cy="1707266"/>
            <wp:effectExtent l="0" t="0" r="8255" b="7620"/>
            <wp:docPr id="1" name="Picture 1" descr="https://cdn3.volusion.com/zmfja.lgudn/v/vspfiles/photos/CSL-X198-2.jpg?v-cache=1547217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volusion.com/zmfja.lgudn/v/vspfiles/photos/CSL-X198-2.jpg?v-cache=1547217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84" cy="17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4908" w14:textId="77777777" w:rsidR="00BB70EB" w:rsidRDefault="00BB70EB">
      <w:hyperlink r:id="rId9" w:history="1">
        <w:r>
          <w:rPr>
            <w:rStyle w:val="Hyperlink"/>
          </w:rPr>
          <w:t>https://www.osha.gov/sites/default/files/enforcement/directives/CPL_03-00-022.pdf</w:t>
        </w:r>
      </w:hyperlink>
    </w:p>
    <w:p w14:paraId="3A8EA3A7" w14:textId="77777777" w:rsidR="004715CA" w:rsidRDefault="004715CA">
      <w:hyperlink r:id="rId10" w:history="1">
        <w:r>
          <w:rPr>
            <w:rStyle w:val="Hyperlink"/>
          </w:rPr>
          <w:t>https://www.osha.gov/OshDoc/data_General_Facts/amputation-factsheet.pdf</w:t>
        </w:r>
      </w:hyperlink>
    </w:p>
    <w:p w14:paraId="0D291F4E" w14:textId="77777777" w:rsidR="008A0557" w:rsidRDefault="00666738">
      <w:hyperlink r:id="rId11" w:history="1">
        <w:r>
          <w:rPr>
            <w:rStyle w:val="Hyperlink"/>
          </w:rPr>
          <w:t>https://www.osha.gov/Publications/osha3120.pdf</w:t>
        </w:r>
      </w:hyperlink>
      <w:bookmarkStart w:id="0" w:name="_GoBack"/>
      <w:bookmarkEnd w:id="0"/>
    </w:p>
    <w:p w14:paraId="7DA29A72" w14:textId="50609F45" w:rsidR="004715CA" w:rsidRDefault="004715CA">
      <w:hyperlink r:id="rId12" w:history="1">
        <w:r>
          <w:rPr>
            <w:rStyle w:val="Hyperlink"/>
          </w:rPr>
          <w:t>https://www.osha.gov/SLTC/machineguarding/index.html</w:t>
        </w:r>
      </w:hyperlink>
    </w:p>
    <w:p w14:paraId="25CB02F8" w14:textId="4DB4D827" w:rsidR="00DB1F13" w:rsidRDefault="00DB1F13"/>
    <w:p w14:paraId="2DD53446" w14:textId="20881EC1" w:rsidR="00DB1F13" w:rsidRDefault="00DB1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8C69" wp14:editId="529733CB">
                <wp:simplePos x="0" y="0"/>
                <wp:positionH relativeFrom="column">
                  <wp:posOffset>2476982</wp:posOffset>
                </wp:positionH>
                <wp:positionV relativeFrom="paragraph">
                  <wp:posOffset>126976</wp:posOffset>
                </wp:positionV>
                <wp:extent cx="2656390" cy="1215342"/>
                <wp:effectExtent l="0" t="0" r="107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390" cy="1215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DAE8E" w14:textId="6187904E" w:rsidR="00DB1F13" w:rsidRDefault="00DB1F13">
                            <w:r>
                              <w:t>Post the OSHA Summary – 301 Form from February 1st – April 30</w:t>
                            </w:r>
                            <w:r w:rsidRPr="00DB1F13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28B7F560" w14:textId="1D680601" w:rsidR="00DB1F13" w:rsidRDefault="009F3CCB">
                            <w:r>
                              <w:t>Establishments with 20 or more employees must electronically report the OSHA Summary data by March 2,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08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05pt;margin-top:10pt;width:209.15pt;height:9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" fillcolor="white [3201]" strokeweight=".5pt">
                <v:textbox>
                  <w:txbxContent>
                    <w:p w14:paraId="461DAE8E" w14:textId="6187904E" w:rsidR="00DB1F13" w:rsidRDefault="00DB1F13">
                      <w:r>
                        <w:t>Post the OSHA Summary – 301 Form from February 1st – April 30</w:t>
                      </w:r>
                      <w:r w:rsidRPr="00DB1F13">
                        <w:rPr>
                          <w:vertAlign w:val="superscript"/>
                        </w:rPr>
                        <w:t>th</w:t>
                      </w:r>
                    </w:p>
                    <w:p w14:paraId="28B7F560" w14:textId="1D680601" w:rsidR="00DB1F13" w:rsidRDefault="009F3CCB">
                      <w:r>
                        <w:t>Establishments with 20 or more employees must electronically report the OSHA Summary data by March 2,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C18FFA" wp14:editId="1A7281CD">
            <wp:extent cx="1918864" cy="1440508"/>
            <wp:effectExtent l="0" t="0" r="5715" b="7620"/>
            <wp:docPr id="2" name="Picture 2" descr="Image result for osha 301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sha 301 fo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32" cy="14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0092" w14:textId="77777777" w:rsidR="00666738" w:rsidRDefault="00666738"/>
    <w:sectPr w:rsidR="0066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2B2"/>
    <w:multiLevelType w:val="hybridMultilevel"/>
    <w:tmpl w:val="91B8B3C6"/>
    <w:lvl w:ilvl="0" w:tplc="4118870A">
      <w:numFmt w:val="bullet"/>
      <w:lvlText w:val="•"/>
      <w:lvlJc w:val="left"/>
      <w:pPr>
        <w:ind w:left="841" w:hanging="362"/>
      </w:pPr>
      <w:rPr>
        <w:w w:val="103"/>
      </w:rPr>
    </w:lvl>
    <w:lvl w:ilvl="1" w:tplc="30744064">
      <w:numFmt w:val="bullet"/>
      <w:lvlText w:val="•"/>
      <w:lvlJc w:val="left"/>
      <w:pPr>
        <w:ind w:left="1921" w:hanging="358"/>
      </w:pPr>
      <w:rPr>
        <w:rFonts w:ascii="Times New Roman" w:eastAsia="Times New Roman" w:hAnsi="Times New Roman" w:cs="Times New Roman" w:hint="default"/>
        <w:color w:val="232323"/>
        <w:w w:val="101"/>
        <w:sz w:val="23"/>
        <w:szCs w:val="23"/>
      </w:rPr>
    </w:lvl>
    <w:lvl w:ilvl="2" w:tplc="D1AEA8C0">
      <w:numFmt w:val="bullet"/>
      <w:lvlText w:val="•"/>
      <w:lvlJc w:val="left"/>
      <w:pPr>
        <w:ind w:left="2771" w:hanging="358"/>
      </w:pPr>
    </w:lvl>
    <w:lvl w:ilvl="3" w:tplc="56987E38">
      <w:numFmt w:val="bullet"/>
      <w:lvlText w:val="•"/>
      <w:lvlJc w:val="left"/>
      <w:pPr>
        <w:ind w:left="3622" w:hanging="358"/>
      </w:pPr>
    </w:lvl>
    <w:lvl w:ilvl="4" w:tplc="BDC4900E">
      <w:numFmt w:val="bullet"/>
      <w:lvlText w:val="•"/>
      <w:lvlJc w:val="left"/>
      <w:pPr>
        <w:ind w:left="4473" w:hanging="358"/>
      </w:pPr>
    </w:lvl>
    <w:lvl w:ilvl="5" w:tplc="CFE07D16">
      <w:numFmt w:val="bullet"/>
      <w:lvlText w:val="•"/>
      <w:lvlJc w:val="left"/>
      <w:pPr>
        <w:ind w:left="5324" w:hanging="358"/>
      </w:pPr>
    </w:lvl>
    <w:lvl w:ilvl="6" w:tplc="2FE6F0A0">
      <w:numFmt w:val="bullet"/>
      <w:lvlText w:val="•"/>
      <w:lvlJc w:val="left"/>
      <w:pPr>
        <w:ind w:left="6175" w:hanging="358"/>
      </w:pPr>
    </w:lvl>
    <w:lvl w:ilvl="7" w:tplc="B2261128">
      <w:numFmt w:val="bullet"/>
      <w:lvlText w:val="•"/>
      <w:lvlJc w:val="left"/>
      <w:pPr>
        <w:ind w:left="7026" w:hanging="358"/>
      </w:pPr>
    </w:lvl>
    <w:lvl w:ilvl="8" w:tplc="6876CF4C">
      <w:numFmt w:val="bullet"/>
      <w:lvlText w:val="•"/>
      <w:lvlJc w:val="left"/>
      <w:pPr>
        <w:ind w:left="7877" w:hanging="358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38"/>
    <w:rsid w:val="00167671"/>
    <w:rsid w:val="002A2551"/>
    <w:rsid w:val="004715CA"/>
    <w:rsid w:val="00666738"/>
    <w:rsid w:val="009F3CCB"/>
    <w:rsid w:val="00AF4D75"/>
    <w:rsid w:val="00BB70EB"/>
    <w:rsid w:val="00D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F8C3"/>
  <w15:chartTrackingRefBased/>
  <w15:docId w15:val="{51EAF5A5-1E0F-4ED8-B807-602FE8D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sha.gov/SLTC/machineguarding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ha.gov/Publications/osha31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sha.gov/OshDoc/data_General_Facts/amputation-factshee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sha.gov/sites/default/files/enforcement/directives/CPL_03-00-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761A6-1883-4617-991F-EF1849D51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BA2FC-ED88-4426-B54D-BC809296B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6E374-9E62-4CE9-8342-41B33FEF62C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a1ba486-ff2f-4459-80ac-1ab5aa17f82f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Mary - OSHA</dc:creator>
  <cp:keywords/>
  <dc:description/>
  <cp:lastModifiedBy>Bauer, Mary - OSHA</cp:lastModifiedBy>
  <cp:revision>2</cp:revision>
  <dcterms:created xsi:type="dcterms:W3CDTF">2020-01-08T16:35:00Z</dcterms:created>
  <dcterms:modified xsi:type="dcterms:W3CDTF">2020-01-08T18:36:00Z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